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3"/>
        <w:tblW w:w="8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1"/>
        <w:gridCol w:w="7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2" w:hRule="atLeast"/>
        </w:trPr>
        <w:tc>
          <w:tcPr>
            <w:tcW w:w="87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lang w:val="en-US" w:eastAsia="zh-CN"/>
              </w:rPr>
              <w:t>宝丰县卫生和计划生育委员会随机抽取代理机构报名表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代理机构名称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河南智远工程管理有限公司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河南卓信工程咨询有限公司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河南腾飞工程造价咨询有限公司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河南雨泽工程管理咨询有限公司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河南中基工程管理有限公司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广东华禹工程咨询有限公司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河南兴伟招标有限公司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河南驰翔工程管理有限公司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河南龙华工程咨询有限公司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深圳市合创建设工程顾问有限公司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河南省信人工程造价咨询有限公司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河南金泰招标代理有限公司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郑州力德招标咨询管理有限公司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河南呈祥工程咨询有限公司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河南恒信咨询管理有限公司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河南申鑫工程管理有限公司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河南省伟信招标管理咨询有限公司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</w:tr>
    </w:tbl>
    <w:p>
      <w:pPr/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B299B"/>
    <w:rsid w:val="05AD09A0"/>
    <w:rsid w:val="1B2361B7"/>
    <w:rsid w:val="2366246B"/>
    <w:rsid w:val="667B29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2016-01-18T03:51:00Z</dcterms:created>
  <dc:creator>Administrator</dc:creator>
  <cp:lastModifiedBy>Administrator</cp:lastModifiedBy>
  <dcterms:modified xsi:type="dcterms:W3CDTF">2016-02-24T02:07:45Z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